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center"/>
      </w:pPr>
      <w:r>
        <w:rPr>
          <w:b/>
          <w:bCs/>
          <w:sz w:val="28"/>
          <w:szCs w:val="28"/>
        </w:rPr>
        <w:t xml:space="preserve">PASLAUGŲ SUTARTIS Nr. </w:t>
      </w:r>
      <w:r>
        <w:rPr>
          <w:b/>
          <w:bCs/>
          <w:sz w:val="28"/>
          <w:szCs w:val="28"/>
          <w:highlight w:val="yellow"/>
        </w:rPr>
        <w:t xml:space="preserve">[__]</w:t>
      </w:r>
    </w:p>
    <w:p>
      <w:pPr>
        <w:spacing w:after="240" w:before="0"/>
        <w:jc w:val="center"/>
      </w:pPr>
      <w:r>
        <w:t xml:space="preserve">Vilnius, 2026 m. </w:t>
      </w:r>
      <w:r>
        <w:rPr>
          <w:highlight w:val="yellow"/>
        </w:rPr>
        <w:t xml:space="preserve">[__________]</w:t>
      </w:r>
      <w:r>
        <w:t xml:space="preserve"> </w:t>
      </w:r>
      <w:r>
        <w:rPr>
          <w:highlight w:val="yellow"/>
        </w:rPr>
        <w:t xml:space="preserve">[__]</w:t>
      </w:r>
      <w:r>
        <w:t xml:space="preserve"> d.</w:t>
      </w:r>
    </w:p>
    <w:p>
      <w:pPr>
        <w:spacing w:after="120" w:before="0"/>
        <w:jc w:val="both"/>
      </w:pPr>
      <w:r>
        <w:t xml:space="preserve">UAB „Sistemium“, juridinio asmens kodas 303048373, PVM mokėtojo kodas LT100008291013, buveinės adresas V. Nagevičiaus g. 3, LT-08237 Vilnius, atstovaujama </w:t>
      </w:r>
      <w:r>
        <w:rPr>
          <w:highlight w:val="yellow"/>
        </w:rPr>
        <w:t xml:space="preserve">[pareigos, vardas, pavardė]</w:t>
      </w:r>
      <w:r>
        <w:t xml:space="preserve"> (toliau – Užsakovas),</w:t>
      </w:r>
    </w:p>
    <w:p>
      <w:pPr>
        <w:spacing w:after="120" w:before="0"/>
        <w:jc w:val="center"/>
      </w:pPr>
      <w:r>
        <w:t xml:space="preserve">ir</w:t>
      </w:r>
    </w:p>
    <w:p>
      <w:pPr>
        <w:spacing w:after="120" w:before="0"/>
        <w:jc w:val="both"/>
      </w:pPr>
      <w:r>
        <w:rPr>
          <w:highlight w:val="yellow"/>
        </w:rPr>
        <w:t xml:space="preserve">[vardas, pavardė / įmonės pavadinimas]</w:t>
      </w:r>
      <w:r>
        <w:t xml:space="preserve">, </w:t>
      </w:r>
      <w:r>
        <w:rPr>
          <w:highlight w:val="yellow"/>
        </w:rPr>
        <w:t xml:space="preserve">[individualios veiklos pažymos Nr. / įmonės kodas]</w:t>
      </w:r>
      <w:r>
        <w:t xml:space="preserve">, </w:t>
      </w:r>
      <w:r>
        <w:rPr>
          <w:highlight w:val="yellow"/>
        </w:rPr>
        <w:t xml:space="preserve">[PVM mokėtojo kodas, jei yra]</w:t>
      </w:r>
      <w:r>
        <w:t xml:space="preserve">, adresas </w:t>
      </w:r>
      <w:r>
        <w:rPr>
          <w:highlight w:val="yellow"/>
        </w:rPr>
        <w:t xml:space="preserve">[__________]</w:t>
      </w:r>
      <w:r>
        <w:t xml:space="preserve">, el. paštas </w:t>
      </w:r>
      <w:r>
        <w:rPr>
          <w:highlight w:val="yellow"/>
        </w:rPr>
        <w:t xml:space="preserve">[__________]</w:t>
      </w:r>
      <w:r>
        <w:t xml:space="preserve"> (toliau – Vykdytojas),</w:t>
      </w:r>
    </w:p>
    <w:p>
      <w:pPr>
        <w:spacing w:after="120" w:before="0"/>
        <w:jc w:val="both"/>
      </w:pPr>
      <w:r>
        <w:t xml:space="preserve">toliau kartu – Šalys, sudarė šią sutartį.</w:t>
      </w:r>
    </w:p>
    <w:p>
      <w:pPr>
        <w:keepNext/>
        <w:spacing w:after="120" w:before="240"/>
        <w:jc w:val="left"/>
      </w:pPr>
      <w:r>
        <w:rPr>
          <w:b/>
          <w:bCs/>
        </w:rPr>
        <w:t xml:space="preserve">1. SUTARTIES DALYKAS</w:t>
      </w:r>
    </w:p>
    <w:p>
      <w:pPr>
        <w:spacing w:after="120" w:before="0"/>
        <w:jc w:val="both"/>
      </w:pPr>
      <w:r>
        <w:t xml:space="preserve">1.1. Vykdytojas įsipareigoja etapais įvertinti Užsakovo kuriamą debesijos apskaitos programą JARS (https://app.jars.lt, toliau – Programa), palyginti ją su programa, kuria dirba pats (Finvalda arba Site.pro (B1), toliau – Lyginamoji programa), ir parengti kiekvieno etapo rašytinę ataskaitą (toliau – Ataskaita), o Užsakovas – sumokėti už priimtus etapus.</w:t>
      </w:r>
    </w:p>
    <w:p>
      <w:pPr>
        <w:spacing w:after="120" w:before="0"/>
        <w:jc w:val="both"/>
      </w:pPr>
      <w:r>
        <w:t xml:space="preserve">1.2. Pirmojo etapo užduotis, terminas ir kaina nustatyti 1 priede. Kiekvieną kitą etapą Šalys suderina el. paštu, nurodydamos užduotį, terminą ir kainą; toks suderinimas yra šios sutarties dalis. Užsakovas neįsipareigoja užsakyti kitų etapų, o Vykdytojas – jų prisiimti.</w:t>
      </w:r>
    </w:p>
    <w:p>
      <w:pPr>
        <w:keepNext/>
        <w:spacing w:after="120" w:before="240"/>
        <w:jc w:val="left"/>
      </w:pPr>
      <w:r>
        <w:rPr>
          <w:b/>
          <w:bCs/>
        </w:rPr>
        <w:t xml:space="preserve">2. PASLAUGŲ TEIKIMAS</w:t>
      </w:r>
    </w:p>
    <w:p>
      <w:pPr>
        <w:spacing w:after="120" w:before="0"/>
        <w:jc w:val="both"/>
      </w:pPr>
      <w:r>
        <w:t xml:space="preserve">2.1. Vykdytojas paslaugas teikia savarankiškai, savo priemonėmis ir nuotoliniu būdu.</w:t>
      </w:r>
    </w:p>
    <w:p>
      <w:pPr>
        <w:spacing w:after="120" w:before="0"/>
        <w:jc w:val="both"/>
      </w:pPr>
      <w:r>
        <w:t xml:space="preserve">2.2. Vertinimas yra nepriklausomas: Vykdytojas išdėsto savo profesinę nuomonę, Užsakovas nenurodo, kokios turi būti išvados, ir atlygis nuo išvadų nepriklauso.</w:t>
      </w:r>
    </w:p>
    <w:p>
      <w:pPr>
        <w:spacing w:after="120" w:before="0"/>
        <w:jc w:val="both"/>
      </w:pPr>
      <w:r>
        <w:t xml:space="preserve">2.3. Programoje Vykdytojas naudoja tik išgalvotą įmonę ir išgalvotas operacijas ir nesuveda tikrų fizinių asmenų asmens duomenų (asmens kodų ir kt.). Pavyzdiniame mėnesyje nurodytų kontrahentų pavadinimai, kodai ir adresai paimti iš viešų registrų.</w:t>
      </w:r>
    </w:p>
    <w:p>
      <w:pPr>
        <w:spacing w:after="120" w:before="0"/>
        <w:jc w:val="both"/>
      </w:pPr>
      <w:r>
        <w:t xml:space="preserve">2.4. Ataskaita pateikiama lietuvių kalba, elektroniniu būdu (Word, PDF arba Google Docs formatu), el. paštu </w:t>
      </w:r>
      <w:r>
        <w:rPr>
          <w:highlight w:val="yellow"/>
        </w:rPr>
        <w:t xml:space="preserve">[__________]</w:t>
      </w:r>
      <w:r>
        <w:t xml:space="preserve">.</w:t>
      </w:r>
    </w:p>
    <w:p>
      <w:pPr>
        <w:keepNext/>
        <w:spacing w:after="120" w:before="240"/>
        <w:jc w:val="left"/>
      </w:pPr>
      <w:r>
        <w:rPr>
          <w:b/>
          <w:bCs/>
        </w:rPr>
        <w:t xml:space="preserve">3. ATASKAITOS PRIĖMIMAS</w:t>
      </w:r>
    </w:p>
    <w:p>
      <w:pPr>
        <w:spacing w:after="120" w:before="0"/>
        <w:jc w:val="both"/>
      </w:pPr>
      <w:r>
        <w:t xml:space="preserve">3.1. Per 5 darbo dienas nuo Ataskaitos gavimo Užsakovas ją priima arba el. paštu nurodo, kurių užduoties punktų Ataskaitoje nėra. Vykdytojas juos papildo per 5 darbo dienas. Jei per 5 darbo dienas Užsakovas neatsako, Ataskaita laikoma priimta.</w:t>
      </w:r>
    </w:p>
    <w:p>
      <w:pPr>
        <w:spacing w:after="120" w:before="0"/>
        <w:jc w:val="both"/>
      </w:pPr>
      <w:r>
        <w:t xml:space="preserve">3.2. Užsakovas negali atsisakyti priimti Ataskaitos dėl to, kad nesutinka su jos išvadomis.</w:t>
      </w:r>
    </w:p>
    <w:p>
      <w:pPr>
        <w:keepNext/>
        <w:spacing w:after="120" w:before="240"/>
        <w:jc w:val="left"/>
      </w:pPr>
      <w:r>
        <w:rPr>
          <w:b/>
          <w:bCs/>
        </w:rPr>
        <w:t xml:space="preserve">4. KAINA IR MOKĖJIMAS</w:t>
      </w:r>
    </w:p>
    <w:p>
      <w:pPr>
        <w:spacing w:after="120" w:before="0"/>
        <w:jc w:val="both"/>
      </w:pPr>
      <w:r>
        <w:t xml:space="preserve">4.1. Etapo kaina nurodoma 1 priede arba etapo suderinime. Kaina apima visas Vykdytojo išlaidas. Jei Vykdytojas yra PVM mokėtojas, prie kainos pridedamas PVM.</w:t>
      </w:r>
    </w:p>
    <w:p>
      <w:pPr>
        <w:spacing w:after="120" w:before="0"/>
        <w:jc w:val="both"/>
      </w:pPr>
      <w:r>
        <w:t xml:space="preserve">4.2. Užsakovas sumoka per 10 dienų nuo Ataskaitos priėmimo pagal Vykdytojo išrašytą sąskaitą.</w:t>
      </w:r>
    </w:p>
    <w:p>
      <w:pPr>
        <w:spacing w:after="120" w:before="0"/>
        <w:jc w:val="both"/>
      </w:pPr>
      <w:r>
        <w:t xml:space="preserve">4.3. Vykdytojas paslaugas teikia vykdydamas individualią veiklą arba kaip juridinis asmuo ir mokesčius nuo gauto atlygio moka pats.</w:t>
      </w:r>
    </w:p>
    <w:p>
      <w:pPr>
        <w:keepNext/>
        <w:spacing w:after="120" w:before="240"/>
        <w:jc w:val="left"/>
      </w:pPr>
      <w:r>
        <w:rPr>
          <w:b/>
          <w:bCs/>
        </w:rPr>
        <w:t xml:space="preserve">5. TEISĖS Į ATASKAITĄ</w:t>
      </w:r>
    </w:p>
    <w:p>
      <w:pPr>
        <w:spacing w:after="120" w:before="0"/>
        <w:jc w:val="both"/>
      </w:pPr>
      <w:r>
        <w:t xml:space="preserve">5.1. Užsakovui sumokėjus už etapą, jam pereina turtinės teisės į to etapo Ataskaitą: Užsakovas gali ją neribotai naudoti savo veikloje, taip pat Programai tobulinti.</w:t>
      </w:r>
    </w:p>
    <w:p>
      <w:pPr>
        <w:spacing w:after="120" w:before="0"/>
        <w:jc w:val="both"/>
      </w:pPr>
      <w:r>
        <w:t xml:space="preserve">5.2. Ataskaitą ar jos ištraukas viešai skelbti, taip pat viešai nurodyti Vykdytojo vardą ir pavardę ar pavadinimą Užsakovas gali tik gavęs Vykdytojo sutikimą el. paštu dėl konkretaus teksto.</w:t>
      </w:r>
    </w:p>
    <w:p>
      <w:pPr>
        <w:keepNext/>
        <w:spacing w:after="120" w:before="240"/>
        <w:jc w:val="left"/>
      </w:pPr>
      <w:r>
        <w:rPr>
          <w:b/>
          <w:bCs/>
        </w:rPr>
        <w:t xml:space="preserve">6. KONFIDENCIALUMAS</w:t>
      </w:r>
    </w:p>
    <w:p>
      <w:pPr>
        <w:spacing w:after="120" w:before="0"/>
        <w:jc w:val="both"/>
      </w:pPr>
      <w:r>
        <w:t xml:space="preserve">6.1. Vykdytojas be Užsakovo sutikimo neskelbia Ataskaitos ir neatskleidžia tretiesiems asmenims vykdant sutartį gautos neviešos informacijos apie Programą (pvz., apie dar neišleistas funkcijas).</w:t>
      </w:r>
    </w:p>
    <w:p>
      <w:pPr>
        <w:keepNext/>
        <w:spacing w:after="120" w:before="240"/>
        <w:jc w:val="left"/>
      </w:pPr>
      <w:r>
        <w:rPr>
          <w:b/>
          <w:bCs/>
        </w:rPr>
        <w:t xml:space="preserve">7. GALIOJIMAS IR NUTRAUKIMAS</w:t>
      </w:r>
    </w:p>
    <w:p>
      <w:pPr>
        <w:spacing w:after="120" w:before="0"/>
        <w:jc w:val="both"/>
      </w:pPr>
      <w:r>
        <w:t xml:space="preserve">7.1. Sutartis įsigalioja ją pasirašius ir galioja, kol Šalys įvykdys savo įsipareigojimus.</w:t>
      </w:r>
    </w:p>
    <w:p>
      <w:pPr>
        <w:spacing w:after="120" w:before="0"/>
        <w:jc w:val="both"/>
      </w:pPr>
      <w:r>
        <w:t xml:space="preserve">7.2. Kiekviena Šalis gali nutraukti sutartį, el. paštu įspėjusi kitą Šalį prieš 5 darbo dienas. Už iki nutraukimo priimtus etapus atsiskaitoma. Jei sutartį nutraukia Užsakovas vykstant etapui, jis sumoka už faktiškai atliktą darbą, proporcingai etapo kainai.</w:t>
      </w:r>
    </w:p>
    <w:p>
      <w:pPr>
        <w:keepNext/>
        <w:spacing w:after="120" w:before="240"/>
        <w:jc w:val="left"/>
      </w:pPr>
      <w:r>
        <w:rPr>
          <w:b/>
          <w:bCs/>
        </w:rPr>
        <w:t xml:space="preserve">8. KITOS SĄLYGOS</w:t>
      </w:r>
    </w:p>
    <w:p>
      <w:pPr>
        <w:spacing w:after="120" w:before="0"/>
        <w:jc w:val="both"/>
      </w:pPr>
      <w:r>
        <w:t xml:space="preserve">8.1. Pranešimai siunčiami šioje sutartyje nurodytais el. pašto adresais.</w:t>
      </w:r>
    </w:p>
    <w:p>
      <w:pPr>
        <w:spacing w:after="120" w:before="0"/>
        <w:jc w:val="both"/>
      </w:pPr>
      <w:r>
        <w:t xml:space="preserve">8.2. Sutarčiai taikoma Lietuvos Respublikos teisė. Ginčai sprendžiami derybomis, o nepavykus susitarti – Lietuvos Respublikos teismuose pagal Užsakovo buveinę.</w:t>
      </w:r>
    </w:p>
    <w:p>
      <w:pPr>
        <w:spacing w:after="120" w:before="0"/>
        <w:jc w:val="both"/>
      </w:pPr>
      <w:r>
        <w:t xml:space="preserve">8.3. Sutartis pasirašoma elektroniniais parašais arba skenuotomis pasirašytomis kopijomis; kiekviena Šalis gauna po vieną vienodos galios egzempliorių.</w:t>
      </w:r>
    </w:p>
    <w:p>
      <w:pPr>
        <w:keepNext/>
        <w:spacing w:after="120" w:before="360"/>
        <w:jc w:val="left"/>
      </w:pPr>
      <w:r>
        <w:rPr>
          <w:b/>
          <w:bCs/>
        </w:rPr>
        <w:t xml:space="preserve">ŠALIŲ PARAŠAI</w:t>
      </w:r>
    </w:p>
    <w:tbl>
      <w:tblPr>
        <w:tblW w:type="dxa" w:w="8600"/>
        <w:tblBorders>
          <w:top w:val="none" w:color="FFFFFF" w:sz="0"/>
          <w:left w:val="none" w:color="FFFFFF" w:sz="0"/>
          <w:bottom w:val="none" w:color="FFFFFF" w:sz="0"/>
          <w:right w:val="none" w:color="FFFFFF" w:sz="0"/>
          <w:insideH w:val="none" w:color="FFFFFF" w:sz="0"/>
          <w:insideV w:val="none" w:color="FFFFFF" w:sz="0"/>
        </w:tblBorders>
      </w:tblPr>
      <w:tblGrid>
        <w:gridCol w:w="4300"/>
        <w:gridCol w:w="4300"/>
      </w:tblGrid>
      <w:tr>
        <w:trPr>
          <w:cantSplit/>
        </w:trPr>
        <w:tc>
          <w:tcPr>
            <w:tcW w:type="dxa" w:w="4300"/>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60"/>
            </w:pPr>
            <w:r>
              <w:rPr>
                <w:b/>
                <w:bCs/>
              </w:rPr>
              <w:t xml:space="preserve">Užsakovas</w:t>
            </w:r>
          </w:p>
          <w:p>
            <w:pPr>
              <w:spacing w:after="60"/>
            </w:pPr>
            <w:r>
              <w:t xml:space="preserve">UAB „Sistemium“</w:t>
            </w:r>
          </w:p>
          <w:p>
            <w:pPr>
              <w:spacing w:after="60"/>
            </w:pPr>
            <w:r>
              <w:rPr>
                <w:highlight w:val="yellow"/>
              </w:rPr>
              <w:t xml:space="preserve">[pareigos, vardas, pavardė]</w:t>
            </w:r>
          </w:p>
        </w:tc>
        <w:tc>
          <w:tcPr>
            <w:tcW w:type="dxa" w:w="4300"/>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60"/>
            </w:pPr>
            <w:r>
              <w:rPr>
                <w:b/>
                <w:bCs/>
              </w:rPr>
              <w:t xml:space="preserve">Vykdytojas</w:t>
            </w:r>
          </w:p>
          <w:p>
            <w:pPr>
              <w:spacing w:after="60"/>
            </w:pPr>
            <w:r>
              <w:rPr>
                <w:highlight w:val="yellow"/>
              </w:rPr>
              <w:t xml:space="preserve">[vardas, pavardė / įmonės pavadinimas, atstovas]</w:t>
            </w:r>
          </w:p>
        </w:tc>
      </w:tr>
      <w:tr>
        <w:trPr>
          <w:cantSplit/>
        </w:trPr>
        <w:tc>
          <w:tcPr>
            <w:tcW w:type="dxa" w:w="4300"/>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0" w:before="600"/>
            </w:pPr>
            <w:r>
              <w:t xml:space="preserve">______________________________</w:t>
            </w:r>
          </w:p>
          <w:p>
            <w:pPr>
              <w:spacing w:after="0"/>
            </w:pPr>
            <w:r>
              <w:rPr>
                <w:color w:val="666666"/>
                <w:sz w:val="18"/>
                <w:szCs w:val="18"/>
              </w:rPr>
              <w:t xml:space="preserve">parašas</w:t>
            </w:r>
          </w:p>
        </w:tc>
        <w:tc>
          <w:tcPr>
            <w:tcW w:type="dxa" w:w="4300"/>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0" w:before="600"/>
            </w:pPr>
            <w:r>
              <w:t xml:space="preserve">______________________________</w:t>
            </w:r>
          </w:p>
          <w:p>
            <w:pPr>
              <w:spacing w:after="0"/>
            </w:pPr>
            <w:r>
              <w:rPr>
                <w:color w:val="666666"/>
                <w:sz w:val="18"/>
                <w:szCs w:val="18"/>
              </w:rPr>
              <w:t xml:space="preserve">parašas</w:t>
            </w:r>
          </w:p>
        </w:tc>
      </w:tr>
    </w:tbl>
    <w:p>
      <w:pPr>
        <w:spacing w:after="240"/>
        <w:jc w:val="center"/>
      </w:pPr>
      <w:r>
        <w:br w:type="page"/>
      </w:r>
      <w:r>
        <w:rPr>
          <w:b/>
          <w:bCs/>
          <w:sz w:val="24"/>
          <w:szCs w:val="24"/>
        </w:rPr>
        <w:t xml:space="preserve">1 PRIEDAS. PIRMOJO ETAPO UŽDUOTIS</w:t>
      </w:r>
    </w:p>
    <w:p>
      <w:pPr>
        <w:spacing w:after="120" w:before="0"/>
        <w:jc w:val="both"/>
      </w:pPr>
      <w:r>
        <w:t xml:space="preserve">1. Lyginamoji programa: </w:t>
      </w:r>
      <w:r>
        <w:rPr>
          <w:highlight w:val="yellow"/>
        </w:rPr>
        <w:t xml:space="preserve">[Finvalda / Site.pro (B1)]</w:t>
      </w:r>
      <w:r>
        <w:t xml:space="preserve">.</w:t>
      </w:r>
    </w:p>
    <w:p>
      <w:pPr>
        <w:spacing w:after="120" w:before="0"/>
        <w:jc w:val="both"/>
      </w:pPr>
      <w:r>
        <w:t xml:space="preserve">2. Užduotis. Vykdytojas, be Užsakovo pagalbos:</w:t>
      </w:r>
    </w:p>
    <w:p>
      <w:pPr>
        <w:spacing w:after="120" w:before="0"/>
        <w:ind w:left="567"/>
        <w:jc w:val="both"/>
      </w:pPr>
      <w:r>
        <w:t xml:space="preserve">2.1. užsiregistruoja Programoje;</w:t>
      </w:r>
    </w:p>
    <w:p>
      <w:pPr>
        <w:spacing w:after="120" w:before="0"/>
        <w:ind w:left="567"/>
        <w:jc w:val="both"/>
      </w:pPr>
      <w:r>
        <w:t xml:space="preserve">2.2. susipažįsta su Užsakovo demonstracine įmone UAB „Eilė“ (prieiga tik skaitymui suteikiama puslapyje https://app.jars.lt/demo);</w:t>
      </w:r>
    </w:p>
    <w:p>
      <w:pPr>
        <w:spacing w:after="120" w:before="0"/>
        <w:ind w:left="567"/>
        <w:jc w:val="both"/>
      </w:pPr>
      <w:r>
        <w:t xml:space="preserve">2.3. sukuria naują, tuščią UAB ir suveda Užsakovo pateiktame pavyzdinio mėnesio apraše nurodytus perėjimo dienos (2026-08-31) pradinius likučius ir mėnesio veiklą: pardavimus ir pirkimus (pagal pateiktas sąskaitas faktūras), banko operacijas (importuodamas pateiktą banko išrašo failą), kasos operacijas, darbuotojus ir jų darbo užmokestį, atskaitingų asmenų operacijas (pinigų išdavimą atskaitingam asmeniui ir atsiskaitymą už juos, atskaitingo asmens mokėjimus savo lėšomis), premiją ir dividendus;</w:t>
      </w:r>
    </w:p>
    <w:p>
      <w:pPr>
        <w:spacing w:after="120" w:before="0"/>
        <w:ind w:left="567"/>
        <w:jc w:val="both"/>
      </w:pPr>
      <w:r>
        <w:t xml:space="preserve">2.4. parengia to mėnesio ataskaitas ir deklaracijas, kurių reikėtų tokiai įmonei (pvz., PVM deklaraciją, i.SAF, GPM313).</w:t>
      </w:r>
    </w:p>
    <w:p>
      <w:pPr>
        <w:spacing w:after="120" w:before="0"/>
        <w:jc w:val="both"/>
      </w:pPr>
      <w:r>
        <w:t xml:space="preserve">Naudotojo vadovas: https://app.jars.lt/docs. Jei kurios nors užduoties dalies atlikti nepavyksta, Vykdytojas ją aprašo Ataskaitoje ir tęsia kitas dalis.</w:t>
      </w:r>
    </w:p>
    <w:p>
      <w:pPr>
        <w:spacing w:after="120" w:before="0"/>
        <w:jc w:val="both"/>
      </w:pPr>
      <w:r>
        <w:t xml:space="preserve">3. Ataskaitoje turi būti:</w:t>
      </w:r>
    </w:p>
    <w:p>
      <w:pPr>
        <w:spacing w:after="120" w:before="0"/>
        <w:ind w:left="567"/>
        <w:jc w:val="both"/>
      </w:pPr>
      <w:r>
        <w:t xml:space="preserve">3.1. kiekvienai sričiai – demonstracinė įmonė UAB „Eilė“, registracija ir įmonės sukūrimas, pradiniai likučiai, pardavimai, pirkimai, bankas, kasa, darbuotojai ir darbo užmokestis, atskaitingi asmenys, premijos ir dividendai, ataskaitos ir deklaracijos:</w:t>
      </w:r>
    </w:p>
    <w:p>
      <w:pPr>
        <w:pStyle w:val="ListParagraph"/>
        <w:numPr>
          <w:ilvl w:val="0"/>
          <w:numId w:val="2"/>
        </w:numPr>
        <w:spacing w:after="60"/>
        <w:jc w:val="left"/>
      </w:pPr>
      <w:r>
        <w:t xml:space="preserve">kas pavyko savarankiškai ir kiek tai užtruko;</w:t>
      </w:r>
    </w:p>
    <w:p>
      <w:pPr>
        <w:pStyle w:val="ListParagraph"/>
        <w:numPr>
          <w:ilvl w:val="0"/>
          <w:numId w:val="2"/>
        </w:numPr>
        <w:spacing w:after="60"/>
        <w:jc w:val="left"/>
      </w:pPr>
      <w:r>
        <w:t xml:space="preserve">kas buvo neaišku ir kur Vykdytojas sustojo;</w:t>
      </w:r>
    </w:p>
    <w:p>
      <w:pPr>
        <w:pStyle w:val="ListParagraph"/>
        <w:numPr>
          <w:ilvl w:val="0"/>
          <w:numId w:val="2"/>
        </w:numPr>
        <w:spacing w:after="60"/>
        <w:jc w:val="left"/>
      </w:pPr>
      <w:r>
        <w:t xml:space="preserve">kas Programoje paprasčiau, geriau ar blogiau nei Lyginamojoje programoje;</w:t>
      </w:r>
    </w:p>
    <w:p>
      <w:pPr>
        <w:spacing w:after="120" w:before="0"/>
        <w:ind w:left="567"/>
        <w:jc w:val="both"/>
      </w:pPr>
      <w:r>
        <w:t xml:space="preserve">3.2. svarbių funkcijų, kurių Programoje nėra, sąrašas, kiekvieną pažymint: „būtina“, „svarbu“ arba „būtų naudinga“;</w:t>
      </w:r>
    </w:p>
    <w:p>
      <w:pPr>
        <w:spacing w:after="120" w:before="0"/>
        <w:ind w:left="567"/>
        <w:jc w:val="both"/>
      </w:pPr>
      <w:r>
        <w:t xml:space="preserve">3.3. bendra išvada: ar Vykdytojas galėtų Programoje vesti mažos UAB apskaitą ir ko tam trūksta.</w:t>
      </w:r>
    </w:p>
    <w:p>
      <w:pPr>
        <w:spacing w:after="120" w:before="0"/>
        <w:jc w:val="both"/>
      </w:pPr>
      <w:r>
        <w:t xml:space="preserve">Ekrano nuotraukos pageidautinos. Apimtis neribojama.</w:t>
      </w:r>
    </w:p>
    <w:p>
      <w:pPr>
        <w:spacing w:after="120" w:before="0"/>
        <w:jc w:val="both"/>
      </w:pPr>
      <w:r>
        <w:t xml:space="preserve">4. Terminas: per </w:t>
      </w:r>
      <w:r>
        <w:rPr>
          <w:highlight w:val="yellow"/>
        </w:rPr>
        <w:t xml:space="preserve">[__]</w:t>
      </w:r>
      <w:r>
        <w:t xml:space="preserve"> kalendorinių dienų nuo sutarties pasirašymo.</w:t>
      </w:r>
    </w:p>
    <w:p>
      <w:pPr>
        <w:spacing w:after="120" w:before="0"/>
        <w:jc w:val="both"/>
      </w:pPr>
      <w:r>
        <w:t xml:space="preserve">5. Kaina: </w:t>
      </w:r>
      <w:r>
        <w:rPr>
          <w:highlight w:val="yellow"/>
        </w:rPr>
        <w:t xml:space="preserve">[__]</w:t>
      </w:r>
      <w:r>
        <w:t xml:space="preserve"> EUR </w:t>
      </w:r>
      <w:r>
        <w:rPr>
          <w:highlight w:val="yellow"/>
        </w:rPr>
        <w:t xml:space="preserve">[be PVM]</w:t>
      </w:r>
      <w:r>
        <w:t xml:space="preserve">.</w:t>
      </w:r>
    </w:p>
    <w:sectPr>
      <w:footerReference w:type="default" r:id="rId6"/>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Paslaugų sutartis Nr. [__]  ·  </w:t>
    </w:r>
    <w:r>
      <w:rPr>
        <w:color w:val="666666"/>
        <w:sz w:val="16"/>
        <w:szCs w:val="16"/>
      </w:rPr>
      <w:fldChar w:fldCharType="begin"/>
    </w:r>
    <w:r>
      <w:rPr>
        <w:color w:val="666666"/>
        <w:sz w:val="16"/>
        <w:szCs w:val="16"/>
      </w:rPr>
      <w:instrText xml:space="preserve">PAGE</w:instrText>
    </w:r>
    <w:r>
      <w:rPr>
        <w:color w:val="666666"/>
        <w:sz w:val="16"/>
        <w:szCs w:val="16"/>
      </w:rPr>
      <w:fldChar w:fldCharType="separate"/>
    </w:r>
    <w:r>
      <w:rPr>
        <w:color w:val="666666"/>
        <w:sz w:val="16"/>
        <w:szCs w:val="16"/>
      </w:rPr>
      <w:fldChar w:fldCharType="end"/>
    </w:r>
    <w:r>
      <w:rPr>
        <w:color w:val="666666"/>
        <w:sz w:val="16"/>
        <w:szCs w:val="16"/>
      </w:rPr>
      <w:t xml:space="preserve"> / </w:t>
    </w:r>
    <w:r>
      <w:rPr>
        <w:color w:val="666666"/>
        <w:sz w:val="16"/>
        <w:szCs w:val="16"/>
      </w:rPr>
      <w:fldChar w:fldCharType="begin"/>
    </w:r>
    <w:r>
      <w:rPr>
        <w:color w:val="666666"/>
        <w:sz w:val="16"/>
        <w:szCs w:val="16"/>
      </w:rPr>
      <w:instrText xml:space="preserve">NUMPAGES</w:instrText>
    </w:r>
    <w:r>
      <w:rPr>
        <w:color w:val="666666"/>
        <w:sz w:val="16"/>
        <w:szCs w:val="16"/>
      </w:rPr>
      <w:fldChar w:fldCharType="separate"/>
    </w:r>
    <w:r>
      <w:rPr>
        <w:color w:val="66666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851"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lt-LT"/>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Paslaugų sutartis</dc:title>
  <dc:creator>UAB „Sistemium“</dc:creator>
  <cp:lastModifiedBy>Un-named</cp:lastModifiedBy>
  <cp:revision>1</cp:revision>
  <dcterms:created xsi:type="dcterms:W3CDTF">2026-10-28T19:28:46.345Z</dcterms:created>
  <dcterms:modified xsi:type="dcterms:W3CDTF">2026-10-28T19:28:46.346Z</dcterms:modified>
</cp:coreProperties>
</file>

<file path=docProps/custom.xml><?xml version="1.0" encoding="utf-8"?>
<Properties xmlns="http://schemas.openxmlformats.org/officeDocument/2006/custom-properties" xmlns:vt="http://schemas.openxmlformats.org/officeDocument/2006/docPropsVTypes"/>
</file>